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B7CF0" w14:textId="77777777" w:rsidR="0045278B" w:rsidRDefault="0045278B" w:rsidP="0045278B">
      <w:pPr>
        <w:pStyle w:val="a8"/>
        <w:spacing w:before="0" w:after="0"/>
        <w:jc w:val="left"/>
        <w:rPr>
          <w:rFonts w:ascii="微软雅黑" w:eastAsia="微软雅黑" w:hAnsi="微软雅黑" w:cs="Times New Roman"/>
          <w:sz w:val="36"/>
          <w:szCs w:val="36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附件：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 xml:space="preserve">        </w:t>
      </w:r>
      <w:r>
        <w:rPr>
          <w:rFonts w:ascii="微软雅黑" w:eastAsia="微软雅黑" w:hAnsi="微软雅黑" w:cs="微软雅黑" w:hint="eastAsia"/>
          <w:sz w:val="36"/>
          <w:szCs w:val="36"/>
        </w:rPr>
        <w:t>党建工作台</w:t>
      </w:r>
      <w:proofErr w:type="gramStart"/>
      <w:r>
        <w:rPr>
          <w:rFonts w:ascii="微软雅黑" w:eastAsia="微软雅黑" w:hAnsi="微软雅黑" w:cs="微软雅黑" w:hint="eastAsia"/>
          <w:sz w:val="36"/>
          <w:szCs w:val="36"/>
        </w:rPr>
        <w:t>账</w:t>
      </w:r>
      <w:proofErr w:type="gramEnd"/>
      <w:r>
        <w:rPr>
          <w:rFonts w:ascii="微软雅黑" w:eastAsia="微软雅黑" w:hAnsi="微软雅黑" w:cs="微软雅黑" w:hint="eastAsia"/>
          <w:sz w:val="36"/>
          <w:szCs w:val="36"/>
        </w:rPr>
        <w:t>管理系统使用说明</w:t>
      </w:r>
    </w:p>
    <w:p w14:paraId="0C04BF82" w14:textId="77777777" w:rsidR="0045278B" w:rsidRDefault="0045278B" w:rsidP="0045278B">
      <w:pPr>
        <w:pStyle w:val="a8"/>
        <w:spacing w:before="0" w:after="0"/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</w:pPr>
      <w:r>
        <w:rPr>
          <w:rFonts w:ascii="微软雅黑" w:eastAsia="微软雅黑" w:hAnsi="微软雅黑" w:cs="微软雅黑" w:hint="eastAsia"/>
          <w:b w:val="0"/>
          <w:bCs w:val="0"/>
          <w:sz w:val="28"/>
          <w:szCs w:val="28"/>
        </w:rPr>
        <w:t>(二级党组织使用版本）</w:t>
      </w:r>
    </w:p>
    <w:p w14:paraId="2D339A2C" w14:textId="77777777" w:rsidR="0045278B" w:rsidRDefault="0045278B" w:rsidP="0045278B"/>
    <w:p w14:paraId="2FAE4973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一、系统登陆</w:t>
      </w:r>
    </w:p>
    <w:p w14:paraId="4C4494D9" w14:textId="77777777" w:rsidR="0045278B" w:rsidRDefault="0045278B" w:rsidP="0045278B">
      <w:pPr>
        <w:ind w:firstLineChars="200" w:firstLine="480"/>
        <w:rPr>
          <w:sz w:val="24"/>
        </w:rPr>
      </w:pPr>
      <w:r>
        <w:rPr>
          <w:rFonts w:ascii="微软雅黑" w:eastAsia="微软雅黑" w:hAnsi="微软雅黑" w:cs="微软雅黑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系统登陆网址：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HYPERLINK "http://crh.gdcjxy.com:9000/party/#/login" </w:instrText>
      </w:r>
      <w:r>
        <w:rPr>
          <w:sz w:val="24"/>
          <w:u w:val="single"/>
        </w:rPr>
        <w:fldChar w:fldCharType="separate"/>
      </w:r>
      <w:r>
        <w:rPr>
          <w:rStyle w:val="a7"/>
          <w:sz w:val="24"/>
          <w:u w:val="single"/>
        </w:rPr>
        <w:t>http://crh.gdcjxy.com:9000/party/#/login</w:t>
      </w:r>
      <w:r>
        <w:rPr>
          <w:sz w:val="24"/>
          <w:u w:val="single"/>
        </w:rPr>
        <w:fldChar w:fldCharType="end"/>
      </w:r>
    </w:p>
    <w:p w14:paraId="7E0F1B06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或在学</w:t>
      </w:r>
      <w:proofErr w:type="gramStart"/>
      <w:r>
        <w:rPr>
          <w:rFonts w:ascii="微软雅黑" w:eastAsia="微软雅黑" w:hAnsi="微软雅黑" w:cs="微软雅黑" w:hint="eastAsia"/>
          <w:sz w:val="24"/>
        </w:rPr>
        <w:t>校官网</w:t>
      </w:r>
      <w:proofErr w:type="gramEnd"/>
      <w:r>
        <w:rPr>
          <w:rFonts w:ascii="微软雅黑" w:eastAsia="微软雅黑" w:hAnsi="微软雅黑" w:cs="微软雅黑" w:hint="eastAsia"/>
          <w:sz w:val="24"/>
        </w:rPr>
        <w:t>--机构设置-党群工作部右下侧端口进入（会出现电脑浏览器设置问题，偶尔无法显示）</w:t>
      </w:r>
    </w:p>
    <w:p w14:paraId="248CBF59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账户和密码由上级单位设定，暂设为：二级党组织账号为党组织名称拼音首字母（例：机关党总支=</w:t>
      </w:r>
      <w:proofErr w:type="spellStart"/>
      <w:r>
        <w:rPr>
          <w:rFonts w:ascii="微软雅黑" w:eastAsia="微软雅黑" w:hAnsi="微软雅黑" w:cs="微软雅黑" w:hint="eastAsia"/>
          <w:sz w:val="24"/>
        </w:rPr>
        <w:t>jgdzj</w:t>
      </w:r>
      <w:proofErr w:type="spellEnd"/>
      <w:r>
        <w:rPr>
          <w:rFonts w:ascii="微软雅黑" w:eastAsia="微软雅黑" w:hAnsi="微软雅黑" w:cs="微软雅黑" w:hint="eastAsia"/>
          <w:sz w:val="24"/>
        </w:rPr>
        <w:t>），密码：</w:t>
      </w:r>
      <w:r>
        <w:rPr>
          <w:rFonts w:ascii="微软雅黑" w:eastAsia="微软雅黑" w:hAnsi="微软雅黑" w:cs="微软雅黑"/>
          <w:sz w:val="24"/>
        </w:rPr>
        <w:t>123456</w:t>
      </w:r>
      <w:r>
        <w:rPr>
          <w:rFonts w:ascii="微软雅黑" w:eastAsia="微软雅黑" w:hAnsi="微软雅黑" w:cs="微软雅黑" w:hint="eastAsia"/>
          <w:sz w:val="24"/>
        </w:rPr>
        <w:t>；党总支书记账号为电话号码，密码：</w:t>
      </w:r>
      <w:r>
        <w:rPr>
          <w:rFonts w:ascii="微软雅黑" w:eastAsia="微软雅黑" w:hAnsi="微软雅黑" w:cs="微软雅黑"/>
          <w:sz w:val="24"/>
        </w:rPr>
        <w:t>123456</w:t>
      </w:r>
    </w:p>
    <w:p w14:paraId="46959113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登陆后可在首页右上角小图标：“个人中心”进行修改：</w:t>
      </w:r>
    </w:p>
    <w:p w14:paraId="72EB5446" w14:textId="67E5C53F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noProof/>
          <w:sz w:val="24"/>
        </w:rPr>
        <w:drawing>
          <wp:inline distT="0" distB="0" distL="0" distR="0" wp14:anchorId="5AEAFC49" wp14:editId="52036926">
            <wp:extent cx="5275580" cy="53467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017B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</w:p>
    <w:p w14:paraId="12FEB5DC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本台账由台</w:t>
      </w:r>
      <w:proofErr w:type="gramEnd"/>
      <w:r>
        <w:rPr>
          <w:rFonts w:ascii="微软雅黑" w:eastAsia="微软雅黑" w:hAnsi="微软雅黑" w:cs="微软雅黑" w:hint="eastAsia"/>
          <w:sz w:val="24"/>
        </w:rPr>
        <w:t>账管理、成员管理、部门管理、查询输出四个模块构成。</w:t>
      </w:r>
    </w:p>
    <w:p w14:paraId="50937B28" w14:textId="7FFA7D05" w:rsidR="0045278B" w:rsidRDefault="0045278B" w:rsidP="0045278B">
      <w:pPr>
        <w:jc w:val="center"/>
        <w:rPr>
          <w:rFonts w:ascii="微软雅黑" w:eastAsia="微软雅黑" w:hAnsi="微软雅黑"/>
          <w:sz w:val="24"/>
        </w:rPr>
      </w:pPr>
      <w:r>
        <w:rPr>
          <w:noProof/>
          <w:sz w:val="24"/>
        </w:rPr>
        <w:drawing>
          <wp:inline distT="0" distB="0" distL="0" distR="0" wp14:anchorId="03DD5889" wp14:editId="6C367384">
            <wp:extent cx="1097280" cy="2215515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89D40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二、成员设置</w:t>
      </w:r>
    </w:p>
    <w:p w14:paraId="2AE5736C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各级成员</w:t>
      </w:r>
      <w:proofErr w:type="gramStart"/>
      <w:r>
        <w:rPr>
          <w:rFonts w:ascii="微软雅黑" w:eastAsia="微软雅黑" w:hAnsi="微软雅黑" w:cs="微软雅黑" w:hint="eastAsia"/>
          <w:sz w:val="24"/>
        </w:rPr>
        <w:t>帐户</w:t>
      </w:r>
      <w:proofErr w:type="gramEnd"/>
      <w:r>
        <w:rPr>
          <w:rFonts w:ascii="微软雅黑" w:eastAsia="微软雅黑" w:hAnsi="微软雅黑" w:cs="微软雅黑" w:hint="eastAsia"/>
          <w:sz w:val="24"/>
        </w:rPr>
        <w:t>名由超级管理员或二级党组织书记进行设置。</w:t>
      </w:r>
      <w:proofErr w:type="gramStart"/>
      <w:r>
        <w:rPr>
          <w:rFonts w:ascii="微软雅黑" w:eastAsia="微软雅黑" w:hAnsi="微软雅黑" w:cs="微软雅黑" w:hint="eastAsia"/>
          <w:sz w:val="24"/>
        </w:rPr>
        <w:t>帐户</w:t>
      </w:r>
      <w:proofErr w:type="gramEnd"/>
      <w:r>
        <w:rPr>
          <w:rFonts w:ascii="微软雅黑" w:eastAsia="微软雅黑" w:hAnsi="微软雅黑" w:cs="微软雅黑" w:hint="eastAsia"/>
          <w:sz w:val="24"/>
        </w:rPr>
        <w:t>名一般用中文真实姓名设置。</w:t>
      </w:r>
    </w:p>
    <w:p w14:paraId="3F89C18A" w14:textId="2BC89FA8" w:rsidR="0045278B" w:rsidRDefault="0045278B" w:rsidP="0045278B">
      <w:pPr>
        <w:pStyle w:val="a8"/>
        <w:spacing w:before="0" w:after="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b w:val="0"/>
          <w:bCs w:val="0"/>
          <w:noProof/>
          <w:sz w:val="24"/>
          <w:szCs w:val="24"/>
        </w:rPr>
        <w:drawing>
          <wp:inline distT="0" distB="0" distL="0" distR="0" wp14:anchorId="5D9A3557" wp14:editId="65EF637D">
            <wp:extent cx="4114800" cy="252539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293AA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三、台账设置</w:t>
      </w:r>
    </w:p>
    <w:p w14:paraId="0377B402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一般由党总支书记、党支部书记、党员分别使用“复制新增”进入设置本单位（个人）台帐。“谁建立的台账，谁有权打自评分”。其中：党员的</w:t>
      </w:r>
      <w:proofErr w:type="gramStart"/>
      <w:r>
        <w:rPr>
          <w:rFonts w:ascii="微软雅黑" w:eastAsia="微软雅黑" w:hAnsi="微软雅黑" w:cs="微软雅黑" w:hint="eastAsia"/>
          <w:sz w:val="24"/>
        </w:rPr>
        <w:t>帐户</w:t>
      </w:r>
      <w:proofErr w:type="gramEnd"/>
      <w:r>
        <w:rPr>
          <w:rFonts w:ascii="微软雅黑" w:eastAsia="微软雅黑" w:hAnsi="微软雅黑" w:cs="微软雅黑" w:hint="eastAsia"/>
          <w:sz w:val="24"/>
        </w:rPr>
        <w:t>由党总支建立，只有建立党员</w:t>
      </w:r>
      <w:proofErr w:type="gramStart"/>
      <w:r>
        <w:rPr>
          <w:rFonts w:ascii="微软雅黑" w:eastAsia="微软雅黑" w:hAnsi="微软雅黑" w:cs="微软雅黑" w:hint="eastAsia"/>
          <w:sz w:val="24"/>
        </w:rPr>
        <w:t>帐户</w:t>
      </w:r>
      <w:proofErr w:type="gramEnd"/>
      <w:r>
        <w:rPr>
          <w:rFonts w:ascii="微软雅黑" w:eastAsia="微软雅黑" w:hAnsi="微软雅黑" w:cs="微软雅黑" w:hint="eastAsia"/>
          <w:sz w:val="24"/>
        </w:rPr>
        <w:t>后，党员才能自己建立台帐。</w:t>
      </w:r>
    </w:p>
    <w:p w14:paraId="22415CA3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复制</w:t>
      </w:r>
      <w:proofErr w:type="gramStart"/>
      <w:r>
        <w:rPr>
          <w:rFonts w:ascii="微软雅黑" w:eastAsia="微软雅黑" w:hAnsi="微软雅黑" w:cs="微软雅黑" w:hint="eastAsia"/>
          <w:sz w:val="24"/>
        </w:rPr>
        <w:t>新增台账设置</w:t>
      </w:r>
      <w:proofErr w:type="gramEnd"/>
      <w:r>
        <w:rPr>
          <w:rFonts w:ascii="微软雅黑" w:eastAsia="微软雅黑" w:hAnsi="微软雅黑" w:cs="微软雅黑" w:hint="eastAsia"/>
          <w:sz w:val="24"/>
        </w:rPr>
        <w:t>方法：</w:t>
      </w:r>
    </w:p>
    <w:p w14:paraId="408B9DA0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sz w:val="24"/>
        </w:rPr>
        <w:t>点左上角</w:t>
      </w:r>
      <w:proofErr w:type="gramEnd"/>
      <w:r>
        <w:rPr>
          <w:rFonts w:ascii="微软雅黑" w:eastAsia="微软雅黑" w:hAnsi="微软雅黑" w:cs="微软雅黑" w:hint="eastAsia"/>
          <w:sz w:val="24"/>
        </w:rPr>
        <w:t>“展开菜单”→“台账管理”→“复制新增”进入设置。</w:t>
      </w:r>
    </w:p>
    <w:p w14:paraId="472AD6BF" w14:textId="1B81C513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7FFD45EF" wp14:editId="5C1B39B5">
            <wp:extent cx="4241165" cy="1519555"/>
            <wp:effectExtent l="0" t="0" r="698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D2C23" w14:textId="77777777" w:rsidR="0045278B" w:rsidRDefault="0045278B" w:rsidP="0045278B">
      <w:pPr>
        <w:ind w:firstLine="66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在模板搜索框输入</w:t>
      </w:r>
      <w:proofErr w:type="gramStart"/>
      <w:r>
        <w:rPr>
          <w:rFonts w:ascii="微软雅黑" w:eastAsia="微软雅黑" w:hAnsi="微软雅黑" w:cs="微软雅黑" w:hint="eastAsia"/>
          <w:sz w:val="24"/>
        </w:rPr>
        <w:t>样本台</w:t>
      </w:r>
      <w:proofErr w:type="gramEnd"/>
      <w:r>
        <w:rPr>
          <w:rFonts w:ascii="微软雅黑" w:eastAsia="微软雅黑" w:hAnsi="微软雅黑" w:cs="微软雅黑" w:hint="eastAsia"/>
          <w:sz w:val="24"/>
        </w:rPr>
        <w:t>账名，点“确定”建立新台帐。</w:t>
      </w:r>
    </w:p>
    <w:p w14:paraId="4A1310E2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建立新台账后，需要进行修改为适合本单位（个人）的台账。修改方法如下：</w:t>
      </w:r>
    </w:p>
    <w:p w14:paraId="587B8398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1、修改台帐名</w:t>
      </w:r>
    </w:p>
    <w:p w14:paraId="157441BA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选择刚创建的台账名，点“修改”进入，修改为本单位（或个人）台账名。</w:t>
      </w:r>
    </w:p>
    <w:p w14:paraId="280A3871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2、修改台账内容</w:t>
      </w:r>
    </w:p>
    <w:p w14:paraId="2B23FF8C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点“编辑”进入横向字段设置。</w:t>
      </w:r>
    </w:p>
    <w:p w14:paraId="1F0F760D" w14:textId="4769C022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noProof/>
          <w:sz w:val="24"/>
        </w:rPr>
        <w:drawing>
          <wp:inline distT="0" distB="0" distL="0" distR="0" wp14:anchorId="3270E147" wp14:editId="67807DDF">
            <wp:extent cx="5275580" cy="429260"/>
            <wp:effectExtent l="0" t="0" r="127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A28C" w14:textId="77777777" w:rsidR="0045278B" w:rsidRDefault="0045278B" w:rsidP="0045278B">
      <w:pPr>
        <w:ind w:firstLine="660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二级及以下单位一般只需要按台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账文件</w:t>
      </w:r>
      <w:proofErr w:type="gramEnd"/>
      <w:r>
        <w:rPr>
          <w:rFonts w:ascii="微软雅黑" w:eastAsia="微软雅黑" w:hAnsi="微软雅黑" w:cs="微软雅黑" w:hint="eastAsia"/>
          <w:sz w:val="24"/>
        </w:rPr>
        <w:t>内容修改很少一部分文字内容，如：“负责人”项目下的名字。</w:t>
      </w:r>
      <w:proofErr w:type="gramStart"/>
      <w:r>
        <w:rPr>
          <w:rFonts w:ascii="微软雅黑" w:eastAsia="微软雅黑" w:hAnsi="微软雅黑" w:cs="微软雅黑" w:hint="eastAsia"/>
          <w:sz w:val="24"/>
        </w:rPr>
        <w:t>党员台账一般</w:t>
      </w:r>
      <w:proofErr w:type="gramEnd"/>
      <w:r>
        <w:rPr>
          <w:rFonts w:ascii="微软雅黑" w:eastAsia="微软雅黑" w:hAnsi="微软雅黑" w:cs="微软雅黑" w:hint="eastAsia"/>
          <w:sz w:val="24"/>
        </w:rPr>
        <w:t>不需要修改。</w:t>
      </w:r>
    </w:p>
    <w:p w14:paraId="77D895D2" w14:textId="1D771CB6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2F7F3996" wp14:editId="1068BF14">
            <wp:extent cx="5226050" cy="2891155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85A3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四、台账管理</w:t>
      </w:r>
    </w:p>
    <w:p w14:paraId="3B2B8ADE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、支撑材料上传</w:t>
      </w:r>
    </w:p>
    <w:p w14:paraId="107B3986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支撑材料是完成党建工作的凭据，领导、同行通过查看支撑材料评价党组织（党员）的工作情况，并</w:t>
      </w:r>
      <w:proofErr w:type="gramStart"/>
      <w:r>
        <w:rPr>
          <w:rFonts w:ascii="微软雅黑" w:eastAsia="微软雅黑" w:hAnsi="微软雅黑" w:cs="微软雅黑" w:hint="eastAsia"/>
          <w:sz w:val="24"/>
        </w:rPr>
        <w:t>作出</w:t>
      </w:r>
      <w:proofErr w:type="gramEnd"/>
      <w:r>
        <w:rPr>
          <w:rFonts w:ascii="微软雅黑" w:eastAsia="微软雅黑" w:hAnsi="微软雅黑" w:cs="微软雅黑" w:hint="eastAsia"/>
          <w:sz w:val="24"/>
        </w:rPr>
        <w:t>评价。</w:t>
      </w:r>
    </w:p>
    <w:p w14:paraId="625A791C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）上传材料</w:t>
      </w:r>
    </w:p>
    <w:p w14:paraId="43E50030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在系统首页，点台账名，进入台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账管理</w:t>
      </w:r>
      <w:proofErr w:type="gramEnd"/>
      <w:r>
        <w:rPr>
          <w:rFonts w:ascii="微软雅黑" w:eastAsia="微软雅黑" w:hAnsi="微软雅黑" w:cs="微软雅黑" w:hint="eastAsia"/>
          <w:sz w:val="24"/>
        </w:rPr>
        <w:t>页面。点“支撑材料”</w:t>
      </w:r>
      <w:proofErr w:type="gramStart"/>
      <w:r>
        <w:rPr>
          <w:rFonts w:ascii="微软雅黑" w:eastAsia="微软雅黑" w:hAnsi="微软雅黑" w:cs="微软雅黑" w:hint="eastAsia"/>
          <w:sz w:val="24"/>
        </w:rPr>
        <w:t>栏相应</w:t>
      </w:r>
      <w:proofErr w:type="gramEnd"/>
      <w:r>
        <w:rPr>
          <w:rFonts w:ascii="微软雅黑" w:eastAsia="微软雅黑" w:hAnsi="微软雅黑" w:cs="微软雅黑" w:hint="eastAsia"/>
          <w:sz w:val="24"/>
        </w:rPr>
        <w:t>的“未上传”项，弹出“上传文件”框，选择上</w:t>
      </w:r>
      <w:proofErr w:type="gramStart"/>
      <w:r>
        <w:rPr>
          <w:rFonts w:ascii="微软雅黑" w:eastAsia="微软雅黑" w:hAnsi="微软雅黑" w:cs="微软雅黑" w:hint="eastAsia"/>
          <w:sz w:val="24"/>
        </w:rPr>
        <w:t>传相应</w:t>
      </w:r>
      <w:proofErr w:type="gramEnd"/>
      <w:r>
        <w:rPr>
          <w:rFonts w:ascii="微软雅黑" w:eastAsia="微软雅黑" w:hAnsi="微软雅黑" w:cs="微软雅黑" w:hint="eastAsia"/>
          <w:sz w:val="24"/>
        </w:rPr>
        <w:t>文件。</w:t>
      </w:r>
    </w:p>
    <w:p w14:paraId="4345032F" w14:textId="7024AF75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3ED0EC56" wp14:editId="11E0979A">
            <wp:extent cx="5253990" cy="309499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026F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文件上传后，“完成情况”的相应栏由“未完成”变成“完成”，得分栏自动显示为最高分数。</w:t>
      </w:r>
    </w:p>
    <w:p w14:paraId="67A2266D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）得分修改</w:t>
      </w:r>
    </w:p>
    <w:p w14:paraId="52A91616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当台账负责人认为该任务还未有完全完成，自认未有获得满分，可点击“分数”进行修改，输入满分与</w:t>
      </w:r>
      <w:r>
        <w:rPr>
          <w:rFonts w:ascii="微软雅黑" w:eastAsia="微软雅黑" w:hAnsi="微软雅黑" w:cs="微软雅黑"/>
          <w:sz w:val="24"/>
        </w:rPr>
        <w:t>0</w:t>
      </w:r>
      <w:r>
        <w:rPr>
          <w:rFonts w:ascii="微软雅黑" w:eastAsia="微软雅黑" w:hAnsi="微软雅黑" w:cs="微软雅黑" w:hint="eastAsia"/>
          <w:sz w:val="24"/>
        </w:rPr>
        <w:t>分之间的任何分数，完成情况自动变为“部分完成”。</w:t>
      </w:r>
    </w:p>
    <w:p w14:paraId="3BC138D0" w14:textId="1D63EAE9" w:rsidR="0045278B" w:rsidRDefault="0045278B" w:rsidP="0045278B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70076599" wp14:editId="7D400DF2">
            <wp:extent cx="4578985" cy="18357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D4FD6" w14:textId="49457B0D" w:rsidR="0045278B" w:rsidRDefault="0045278B" w:rsidP="0045278B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0" distR="0" wp14:anchorId="66D18DEC" wp14:editId="69825D62">
            <wp:extent cx="5268595" cy="2693670"/>
            <wp:effectExtent l="0" t="0" r="8255" b="0"/>
            <wp:docPr id="6" name="图片 6" descr="C:\Users\ADMINI~1\AppData\Local\Temp\15870464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~1\AppData\Local\Temp\1587046409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C17F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、互评证伪</w:t>
      </w:r>
    </w:p>
    <w:p w14:paraId="04F80F9D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本系统具有互评证伪功能，目的是提高组织和党员对党建工作的诚信度，保证党建考核公开、公正、公平，确保党建活动的真实性、有效度，真正发挥党建考核工作的监督、激励作用。</w:t>
      </w:r>
    </w:p>
    <w:p w14:paraId="3B7BB1C8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）评议者监督。</w:t>
      </w:r>
    </w:p>
    <w:p w14:paraId="136024E5" w14:textId="77777777" w:rsidR="0045278B" w:rsidRDefault="0045278B" w:rsidP="0045278B">
      <w:pPr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cs="微软雅黑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单位的同级负责人（如同为二级学院的党总支书记）为某台账的评议者，有权对该台账上传的支撑材料进行阅读和对得分进行修改，如发现有伪或未完全符合工作要求，有权对该项得分进行修改。修改得分后，光标移到得分处，则显示修改者的姓名。（修改别人的得分要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负解释</w:t>
      </w:r>
      <w:proofErr w:type="gramEnd"/>
      <w:r>
        <w:rPr>
          <w:rFonts w:ascii="微软雅黑" w:eastAsia="微软雅黑" w:hAnsi="微软雅黑" w:cs="微软雅黑" w:hint="eastAsia"/>
          <w:sz w:val="24"/>
        </w:rPr>
        <w:t>责任，一般没有确切依据，建议不要随便修改别人的得分。）</w:t>
      </w:r>
    </w:p>
    <w:p w14:paraId="6A74137F" w14:textId="77777777" w:rsidR="0045278B" w:rsidRDefault="0045278B" w:rsidP="0045278B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）纠错与维权。</w:t>
      </w:r>
    </w:p>
    <w:p w14:paraId="021CD2B8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台账负责人发现分数被改，可与修改者联系解释和沟通，如确有错，实事求是改进工作，并认同修改分数；如经解释和调查后，修改者认为评价有错，可重新修改分数，如认为必须坚持</w:t>
      </w:r>
      <w:proofErr w:type="gramStart"/>
      <w:r>
        <w:rPr>
          <w:rFonts w:ascii="微软雅黑" w:eastAsia="微软雅黑" w:hAnsi="微软雅黑" w:cs="微软雅黑" w:hint="eastAsia"/>
          <w:sz w:val="24"/>
        </w:rPr>
        <w:t>原修改</w:t>
      </w:r>
      <w:proofErr w:type="gramEnd"/>
      <w:r>
        <w:rPr>
          <w:rFonts w:ascii="微软雅黑" w:eastAsia="微软雅黑" w:hAnsi="微软雅黑" w:cs="微软雅黑" w:hint="eastAsia"/>
          <w:sz w:val="24"/>
        </w:rPr>
        <w:t>的分数，双方可上报上级领导评判，最后以领导修改的</w:t>
      </w:r>
      <w:r>
        <w:rPr>
          <w:rFonts w:ascii="微软雅黑" w:eastAsia="微软雅黑" w:hAnsi="微软雅黑" w:cs="微软雅黑" w:hint="eastAsia"/>
          <w:sz w:val="24"/>
        </w:rPr>
        <w:lastRenderedPageBreak/>
        <w:t>分数为准，双方均不可再修改。</w:t>
      </w:r>
    </w:p>
    <w:p w14:paraId="26CC9FAF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、党建工作考核评分</w:t>
      </w:r>
    </w:p>
    <w:p w14:paraId="1316B0F4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各单位党建工作台账是单位党建工作考核的主要依据和形式，各党建工作考核可在台账上完成。党建工作考核可分为定量考核和定性考核。</w:t>
      </w:r>
    </w:p>
    <w:p w14:paraId="688F49D8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）定量考核。</w:t>
      </w:r>
    </w:p>
    <w:p w14:paraId="5C10CF10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定量考核以台账上传的支撑材料为依据，通过考核评议者对上传支撑材料的阅读、与被考核者（台账负责人）沟通评议，确定各</w:t>
      </w:r>
      <w:proofErr w:type="gramStart"/>
      <w:r>
        <w:rPr>
          <w:rFonts w:ascii="微软雅黑" w:eastAsia="微软雅黑" w:hAnsi="微软雅黑" w:cs="微软雅黑" w:hint="eastAsia"/>
          <w:sz w:val="24"/>
        </w:rPr>
        <w:t>单项党建</w:t>
      </w:r>
      <w:proofErr w:type="gramEnd"/>
      <w:r>
        <w:rPr>
          <w:rFonts w:ascii="微软雅黑" w:eastAsia="微软雅黑" w:hAnsi="微软雅黑" w:cs="微软雅黑" w:hint="eastAsia"/>
          <w:sz w:val="24"/>
        </w:rPr>
        <w:t>任务的完成情况和得分。考核方法与互评证伪同。各单项得分总和乘以权重，得出该单位定量考核总分。</w:t>
      </w:r>
    </w:p>
    <w:p w14:paraId="0BE492B9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）定性考核。定性考核由考核评议者以平时工作表现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为印象</w:t>
      </w:r>
      <w:proofErr w:type="gramEnd"/>
      <w:r>
        <w:rPr>
          <w:rFonts w:ascii="微软雅黑" w:eastAsia="微软雅黑" w:hAnsi="微软雅黑" w:cs="微软雅黑" w:hint="eastAsia"/>
          <w:sz w:val="24"/>
        </w:rPr>
        <w:t>依据，在台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</w:t>
      </w:r>
      <w:proofErr w:type="gramEnd"/>
      <w:r>
        <w:rPr>
          <w:rFonts w:ascii="微软雅黑" w:eastAsia="微软雅黑" w:hAnsi="微软雅黑" w:cs="微软雅黑" w:hint="eastAsia"/>
          <w:sz w:val="24"/>
        </w:rPr>
        <w:t>平台上直接评定得分。定性考核由台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账单位</w:t>
      </w:r>
      <w:proofErr w:type="gramEnd"/>
      <w:r>
        <w:rPr>
          <w:rFonts w:ascii="微软雅黑" w:eastAsia="微软雅黑" w:hAnsi="微软雅黑" w:cs="微软雅黑" w:hint="eastAsia"/>
          <w:sz w:val="24"/>
        </w:rPr>
        <w:t>负责人、同级评议者、上级领导组成，各自按权限直接在台账的定性评价栏目中打分完成。分数由系统自动按权重及公式设置运算生成。</w:t>
      </w:r>
    </w:p>
    <w:p w14:paraId="5ADD8AFD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</w:p>
    <w:p w14:paraId="0029E634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</w:p>
    <w:p w14:paraId="627107A5" w14:textId="2604C1BD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103E93F1" wp14:editId="07501365">
            <wp:extent cx="5240020" cy="2251075"/>
            <wp:effectExtent l="0" t="0" r="0" b="0"/>
            <wp:docPr id="5" name="图片 5" descr="C:\Users\ADMINI~1\AppData\Local\Temp\15870463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1587046304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2BF9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说明：（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）台账负责人给本人台账评价，分数为自评分，自己的互评栏自己不能打分；（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）台账负责人给他人台账评价，分数为互评分；上级领导给全部下属台账评价，分数为领导评分。</w:t>
      </w:r>
    </w:p>
    <w:p w14:paraId="0386A7F5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）考核总分评定。</w:t>
      </w:r>
    </w:p>
    <w:p w14:paraId="5FE613D4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考核总分＝定量得分</w:t>
      </w:r>
      <w:r>
        <w:rPr>
          <w:rFonts w:ascii="微软雅黑" w:eastAsia="微软雅黑" w:hAnsi="微软雅黑" w:cs="微软雅黑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定性得分，分数由系统自动按权重及公式设置运算生成。</w:t>
      </w:r>
    </w:p>
    <w:p w14:paraId="1893A434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、台账表格显管理</w:t>
      </w:r>
    </w:p>
    <w:p w14:paraId="730F1FDA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）查看显示效果调整。</w:t>
      </w:r>
    </w:p>
    <w:p w14:paraId="2645DA8B" w14:textId="77777777" w:rsidR="0045278B" w:rsidRDefault="0045278B" w:rsidP="0045278B">
      <w:pPr>
        <w:ind w:firstLine="66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表格在不同电脑系统中显示会有差异，如感觉不适，可点表格左下方“调整宽度”进行调整。</w:t>
      </w:r>
    </w:p>
    <w:p w14:paraId="60DDD325" w14:textId="240E1E01" w:rsidR="0045278B" w:rsidRDefault="0045278B" w:rsidP="0045278B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drawing>
          <wp:inline distT="0" distB="0" distL="0" distR="0" wp14:anchorId="4BBE4C08" wp14:editId="798951A5">
            <wp:extent cx="5219065" cy="234251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A2BAD" w14:textId="77777777" w:rsidR="0045278B" w:rsidRDefault="0045278B" w:rsidP="0045278B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查看效果如图</w:t>
      </w:r>
    </w:p>
    <w:p w14:paraId="706A61A3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）表格打印。点表格右下方打印按钮可以进行页面打印，调整宽度可以调整表格大小。</w:t>
      </w:r>
    </w:p>
    <w:p w14:paraId="3C30A998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若文档过大，图片超出可以调节打印缩放功能修改</w:t>
      </w:r>
    </w:p>
    <w:p w14:paraId="31E6FDF7" w14:textId="57C64114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0" distR="0" wp14:anchorId="5E77B3AF" wp14:editId="2AECC174">
            <wp:extent cx="5275580" cy="3495675"/>
            <wp:effectExtent l="0" t="0" r="1270" b="9525"/>
            <wp:docPr id="3" name="图片 3" descr="C:\Users\ADMINI~1\AppData\Local\Temp\15870463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~1\AppData\Local\Temp\1587046329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CD18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）文档导出。点表格右下方导出按钮可以导出表格，格式为</w:t>
      </w:r>
      <w:r>
        <w:rPr>
          <w:rFonts w:ascii="微软雅黑" w:eastAsia="微软雅黑" w:hAnsi="微软雅黑" w:cs="微软雅黑"/>
          <w:sz w:val="24"/>
        </w:rPr>
        <w:t>word</w:t>
      </w:r>
      <w:r>
        <w:rPr>
          <w:rFonts w:ascii="微软雅黑" w:eastAsia="微软雅黑" w:hAnsi="微软雅黑" w:cs="微软雅黑" w:hint="eastAsia"/>
          <w:sz w:val="24"/>
        </w:rPr>
        <w:t>文档。</w:t>
      </w:r>
    </w:p>
    <w:p w14:paraId="5E2DB575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）上</w:t>
      </w:r>
      <w:proofErr w:type="gramStart"/>
      <w:r>
        <w:rPr>
          <w:rFonts w:ascii="微软雅黑" w:eastAsia="微软雅黑" w:hAnsi="微软雅黑" w:cs="微软雅黑" w:hint="eastAsia"/>
          <w:sz w:val="24"/>
        </w:rPr>
        <w:t>传材料</w:t>
      </w:r>
      <w:proofErr w:type="gramEnd"/>
      <w:r>
        <w:rPr>
          <w:rFonts w:ascii="微软雅黑" w:eastAsia="微软雅黑" w:hAnsi="微软雅黑" w:cs="微软雅黑" w:hint="eastAsia"/>
          <w:sz w:val="24"/>
        </w:rPr>
        <w:t>管理。点击表格内相应栏目“未上传”，可以进入上传文件页面，可以上传多个文件、对已经上传的文件进行预览、下载和删除。</w:t>
      </w:r>
    </w:p>
    <w:p w14:paraId="1A973BFF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五、权限说明</w:t>
      </w:r>
    </w:p>
    <w:p w14:paraId="36E56E18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1、管理权限:</w:t>
      </w:r>
    </w:p>
    <w:p w14:paraId="1ABD5B00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二级党组织可以对本级和下一级台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操作，包括：部门的增删操作、成员的增删操作、材料上传、台账查询和下一级台账评价。而下级人员仅可以对上级台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查询。</w:t>
      </w:r>
    </w:p>
    <w:p w14:paraId="6D58BF07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2、评价权限：</w:t>
      </w:r>
    </w:p>
    <w:p w14:paraId="00A559F2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</w:t>
      </w:r>
      <w:proofErr w:type="gramStart"/>
      <w:r>
        <w:rPr>
          <w:rFonts w:ascii="微软雅黑" w:eastAsia="微软雅黑" w:hAnsi="微软雅黑" w:cs="微软雅黑" w:hint="eastAsia"/>
          <w:sz w:val="24"/>
        </w:rPr>
        <w:t>谁建立台账谁</w:t>
      </w:r>
      <w:proofErr w:type="gramEnd"/>
      <w:r>
        <w:rPr>
          <w:rFonts w:ascii="微软雅黑" w:eastAsia="微软雅黑" w:hAnsi="微软雅黑" w:cs="微软雅黑" w:hint="eastAsia"/>
          <w:sz w:val="24"/>
        </w:rPr>
        <w:t>才有权上传材料、自评，并有权互评同级别的台账，不能对自己台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互评；</w:t>
      </w:r>
    </w:p>
    <w:p w14:paraId="627849B1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（</w:t>
      </w:r>
      <w:r>
        <w:rPr>
          <w:rFonts w:ascii="微软雅黑" w:eastAsia="微软雅黑" w:hAnsi="微软雅黑" w:cs="微软雅黑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）同级人员可以互评同级台账和对</w:t>
      </w:r>
      <w:proofErr w:type="gramStart"/>
      <w:r>
        <w:rPr>
          <w:rFonts w:ascii="微软雅黑" w:eastAsia="微软雅黑" w:hAnsi="微软雅黑" w:cs="微软雅黑" w:hint="eastAsia"/>
          <w:sz w:val="24"/>
        </w:rPr>
        <w:t>下级台账进行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领导评价；</w:t>
      </w:r>
    </w:p>
    <w:p w14:paraId="3BAFEEA8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）互评只在上一级单位管辖的单位范围内进行，不能跨越另一级管辖的单位进行评价。如，机关党支部不能和外国语学院教工党支部进行互评；两个党支部的党员也不能进行互评。</w:t>
      </w:r>
    </w:p>
    <w:p w14:paraId="676382CA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）各级领导有权对下一级台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领导评价，不能对上级和跨下一级台</w:t>
      </w:r>
      <w:proofErr w:type="gramStart"/>
      <w:r>
        <w:rPr>
          <w:rFonts w:ascii="微软雅黑" w:eastAsia="微软雅黑" w:hAnsi="微软雅黑" w:cs="微软雅黑" w:hint="eastAsia"/>
          <w:sz w:val="24"/>
        </w:rPr>
        <w:t>账进行</w:t>
      </w:r>
      <w:proofErr w:type="gramEnd"/>
      <w:r>
        <w:rPr>
          <w:rFonts w:ascii="微软雅黑" w:eastAsia="微软雅黑" w:hAnsi="微软雅黑" w:cs="微软雅黑" w:hint="eastAsia"/>
          <w:sz w:val="24"/>
        </w:rPr>
        <w:t>领导评价。</w:t>
      </w:r>
    </w:p>
    <w:p w14:paraId="6F9D5E77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）成员仅可自评和在本单位内互评。</w:t>
      </w:r>
    </w:p>
    <w:p w14:paraId="033DE855" w14:textId="77777777" w:rsidR="0045278B" w:rsidRDefault="0045278B" w:rsidP="0045278B">
      <w:pPr>
        <w:pStyle w:val="a8"/>
        <w:spacing w:before="0" w:after="0"/>
        <w:ind w:firstLineChars="200" w:firstLine="480"/>
        <w:jc w:val="both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六、查询输出模块</w:t>
      </w:r>
    </w:p>
    <w:p w14:paraId="7906A3F9" w14:textId="77777777" w:rsidR="0045278B" w:rsidRDefault="0045278B" w:rsidP="0045278B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查询分为按党总支排序、按党支部排序和按党员排序三部分查询。各部分查询可得知得分排序情况。点击分数，右侧可以显示对应的台账列表。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p w14:paraId="0ECD6FEA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注：点右上角年份来选择对应的台账。</w:t>
      </w:r>
    </w:p>
    <w:p w14:paraId="7A4B1023" w14:textId="6E5238C1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noProof/>
          <w:sz w:val="24"/>
        </w:rPr>
        <w:drawing>
          <wp:inline distT="0" distB="0" distL="0" distR="0" wp14:anchorId="3135262E" wp14:editId="116BC431">
            <wp:extent cx="4445635" cy="26866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0E65" w14:textId="7852AC76" w:rsidR="0045278B" w:rsidRDefault="0045278B" w:rsidP="0045278B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 wp14:anchorId="5F0671E0" wp14:editId="2F0F483A">
            <wp:extent cx="4480560" cy="7734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FFFF4" w14:textId="77777777" w:rsidR="0045278B" w:rsidRDefault="0045278B" w:rsidP="0045278B">
      <w:pPr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文件输出：点击分数，显示该文件名，点右则“查看”，显示台账表格，可进行文件输出和打印操作。</w:t>
      </w:r>
    </w:p>
    <w:p w14:paraId="4BFADD27" w14:textId="77777777" w:rsidR="0045278B" w:rsidRDefault="0045278B" w:rsidP="0045278B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            </w:t>
      </w:r>
    </w:p>
    <w:p w14:paraId="7202ECC5" w14:textId="77777777" w:rsidR="0045278B" w:rsidRDefault="0045278B" w:rsidP="0045278B">
      <w:pPr>
        <w:widowControl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使用过程中遇到的技术问题，请及时与技术研发人员联系。技术服务热线：方磊 13620906082。</w:t>
      </w:r>
    </w:p>
    <w:p w14:paraId="6F138EB1" w14:textId="77777777" w:rsidR="00556D1C" w:rsidRDefault="00556D1C"/>
    <w:sectPr w:rsidR="00556D1C">
      <w:footerReference w:type="default" r:id="rId20"/>
      <w:pgSz w:w="11906" w:h="16838"/>
      <w:pgMar w:top="2154" w:right="1531" w:bottom="1984" w:left="1531" w:header="851" w:footer="55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7878E" w14:textId="77777777" w:rsidR="00256EDD" w:rsidRDefault="00256EDD" w:rsidP="0045278B">
      <w:r>
        <w:separator/>
      </w:r>
    </w:p>
  </w:endnote>
  <w:endnote w:type="continuationSeparator" w:id="0">
    <w:p w14:paraId="5B378062" w14:textId="77777777" w:rsidR="00256EDD" w:rsidRDefault="00256EDD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1118" w14:textId="75BC68E6" w:rsidR="00000000" w:rsidRDefault="0045278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225F8" wp14:editId="5AD342F4">
              <wp:simplePos x="0" y="0"/>
              <wp:positionH relativeFrom="margin">
                <wp:align>outside</wp:align>
              </wp:positionH>
              <wp:positionV relativeFrom="paragraph">
                <wp:posOffset>-788035</wp:posOffset>
              </wp:positionV>
              <wp:extent cx="551815" cy="728980"/>
              <wp:effectExtent l="0" t="2540" r="635" b="1905"/>
              <wp:wrapNone/>
              <wp:docPr id="15" name="文本框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78439" w14:textId="77777777" w:rsidR="00000000" w:rsidRDefault="00256EDD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25F8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margin-left:-7.75pt;margin-top:-62.05pt;width:43.45pt;height:57.4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" filled="f" stroked="f">
              <v:textbox inset="0,0,0,0">
                <w:txbxContent>
                  <w:p w14:paraId="05B78439" w14:textId="77777777" w:rsidR="00000000" w:rsidRDefault="00256EDD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D3594" w14:textId="77777777" w:rsidR="00256EDD" w:rsidRDefault="00256EDD" w:rsidP="0045278B">
      <w:r>
        <w:separator/>
      </w:r>
    </w:p>
  </w:footnote>
  <w:footnote w:type="continuationSeparator" w:id="0">
    <w:p w14:paraId="6275AE4A" w14:textId="77777777" w:rsidR="00256EDD" w:rsidRDefault="00256EDD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1C"/>
    <w:rsid w:val="00256EDD"/>
    <w:rsid w:val="0045278B"/>
    <w:rsid w:val="005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59633-1679-4F41-A329-0271C77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7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78B"/>
    <w:rPr>
      <w:sz w:val="18"/>
      <w:szCs w:val="18"/>
    </w:rPr>
  </w:style>
  <w:style w:type="paragraph" w:styleId="a5">
    <w:name w:val="footer"/>
    <w:basedOn w:val="a"/>
    <w:link w:val="a6"/>
    <w:unhideWhenUsed/>
    <w:rsid w:val="004527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5278B"/>
    <w:rPr>
      <w:sz w:val="18"/>
      <w:szCs w:val="18"/>
    </w:rPr>
  </w:style>
  <w:style w:type="character" w:styleId="a7">
    <w:name w:val="Hyperlink"/>
    <w:basedOn w:val="a0"/>
    <w:uiPriority w:val="99"/>
    <w:unhideWhenUsed/>
    <w:rsid w:val="0045278B"/>
    <w:rPr>
      <w:rFonts w:ascii="等线" w:eastAsia="等线" w:hAnsi="等线" w:cs="Times New Roman"/>
      <w:color w:val="000000"/>
      <w:u w:val="none"/>
    </w:rPr>
  </w:style>
  <w:style w:type="paragraph" w:styleId="a8">
    <w:name w:val="Title"/>
    <w:basedOn w:val="a"/>
    <w:next w:val="a"/>
    <w:link w:val="a9"/>
    <w:uiPriority w:val="99"/>
    <w:qFormat/>
    <w:rsid w:val="0045278B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99"/>
    <w:rsid w:val="0045278B"/>
    <w:rPr>
      <w:rFonts w:ascii="等线 Light" w:eastAsia="等线 Light" w:hAnsi="等线 Light" w:cs="等线 Ligh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爱哭 鬼</dc:creator>
  <cp:keywords/>
  <dc:description/>
  <cp:lastModifiedBy>爱哭 鬼</cp:lastModifiedBy>
  <cp:revision>2</cp:revision>
  <dcterms:created xsi:type="dcterms:W3CDTF">2020-07-08T09:22:00Z</dcterms:created>
  <dcterms:modified xsi:type="dcterms:W3CDTF">2020-07-08T09:22:00Z</dcterms:modified>
</cp:coreProperties>
</file>